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auto" w:sz="0"/>
          <w:left w:val="none" w:color="auto" w:sz="0"/>
          <w:bottom w:val="single" w:color="8B6914" w:sz="12"/>
          <w:right w:val="none" w:color="auto" w:sz="0"/>
          <w:insideH w:val="single" w:color="auto" w:sz="4"/>
          <w:insideV w:val="single" w:color="auto" w:sz="4"/>
        </w:tblBorders>
      </w:tblPr>
      <w:tblGrid>
        <w:gridCol w:w="9360"/>
      </w:tblGrid>
      <w:tr>
        <w:tc>
          <w:tcPr>
            <w:tcBorders>
              <w:top w:val="none" w:color="auto" w:sz="0"/>
              <w:left w:val="none" w:color="auto" w:sz="0"/>
              <w:bottom w:val="none" w:color="auto" w:sz="0"/>
              <w:right w:val="none" w:color="auto" w:sz="0"/>
            </w:tcBorders>
            <w:shd w:fill="1A1A1A" w:val="clear"/>
            <w:tcMar>
              <w:top w:type="dxa" w:w="200"/>
              <w:left w:type="dxa" w:w="300"/>
              <w:bottom w:type="dxa" w:w="200"/>
              <w:right w:type="dxa" w:w="300"/>
            </w:tcMar>
          </w:tcPr>
          <w:p>
            <w:pPr>
              <w:spacing w:after="0" w:before="0" w:line="276" w:lineRule="auto"/>
              <w:jc w:val="center"/>
            </w:pPr>
            <w:r>
              <w:rPr>
                <w:rFonts w:ascii="Garamond" w:cs="Garamond" w:eastAsia="Garamond" w:hAnsi="Garamond"/>
                <w:b/>
                <w:bCs/>
                <w:color w:val="8B6914"/>
                <w:sz w:val="18"/>
                <w:szCs w:val="18"/>
              </w:rPr>
              <w:t xml:space="preserve">VÍCTOR MANZUR ÁLVAREZ  ·  DomeLux Mérida  ·  Luxury Real Estate</w:t>
            </w:r>
          </w:p>
          <w:p>
            <w:pPr>
              <w:spacing w:after="60" w:before="0" w:line="240" w:lineRule="auto"/>
              <w:jc w:val="left"/>
            </w:pPr>
            <w:r>
              <w:rPr>
                <w:rFonts w:ascii="Garamond" w:cs="Garamond" w:eastAsia="Garamond" w:hAnsi="Garamond"/>
                <w:color w:val="3D3730"/>
                <w:sz w:val="20"/>
                <w:szCs w:val="20"/>
              </w:rPr>
              <w:t xml:space="preserve"/>
            </w:r>
          </w:p>
          <w:p>
            <w:pPr>
              <w:spacing w:after="0" w:before="0" w:line="276" w:lineRule="auto"/>
              <w:jc w:val="center"/>
            </w:pPr>
            <w:r>
              <w:rPr>
                <w:rFonts w:ascii="Garamond" w:cs="Garamond" w:eastAsia="Garamond" w:hAnsi="Garamond"/>
                <w:b/>
                <w:bCs/>
                <w:color w:val="FFFFFF"/>
                <w:sz w:val="44"/>
                <w:szCs w:val="44"/>
              </w:rPr>
              <w:t xml:space="preserve">HACIENDA SANTO DOMINGO</w:t>
            </w:r>
          </w:p>
          <w:p>
            <w:pPr>
              <w:spacing w:after="0" w:before="0" w:line="276" w:lineRule="auto"/>
              <w:jc w:val="center"/>
            </w:pPr>
            <w:r>
              <w:rPr>
                <w:rFonts w:ascii="Garamond" w:cs="Garamond" w:eastAsia="Garamond" w:hAnsi="Garamond"/>
                <w:color w:val="D9D3C5"/>
                <w:sz w:val="18"/>
                <w:szCs w:val="18"/>
              </w:rPr>
              <w:t xml:space="preserve">Est. 1876  ·  150 Años de Historia  ·  Restaurada 2019  ·  Acanceh, Yucatán, México</w:t>
            </w:r>
          </w:p>
          <w:p>
            <w:pPr>
              <w:spacing w:after="80" w:before="0" w:line="240" w:lineRule="auto"/>
              <w:jc w:val="left"/>
            </w:pPr>
            <w:r>
              <w:rPr>
                <w:rFonts w:ascii="Garamond" w:cs="Garamond" w:eastAsia="Garamond" w:hAnsi="Garamond"/>
                <w:color w:val="3D3730"/>
                <w:sz w:val="20"/>
                <w:szCs w:val="20"/>
              </w:rPr>
              <w:t xml:space="preserve"/>
            </w:r>
          </w:p>
          <w:p>
            <w:pPr>
              <w:spacing w:after="0" w:before="0" w:line="276" w:lineRule="auto"/>
              <w:jc w:val="center"/>
            </w:pPr>
            <w:r>
              <w:rPr>
                <w:rFonts w:ascii="Garamond" w:cs="Garamond" w:eastAsia="Garamond" w:hAnsi="Garamond"/>
                <w:i/>
                <w:iCs/>
                <w:color w:val="D9D3C5"/>
                <w:sz w:val="18"/>
                <w:szCs w:val="18"/>
              </w:rPr>
              <w:t xml:space="preserve">"Construida en 1876, en el amanecer del boom del oro verde de Yucatán. Restaurada con maestría en 2019."</w:t>
            </w:r>
          </w:p>
        </w:tc>
      </w:tr>
    </w:tbl>
    <w:p>
      <w:pPr>
        <w:spacing w:after="160" w:before="0" w:line="240" w:lineRule="auto"/>
        <w:jc w:val="left"/>
      </w:pPr>
      <w:r>
        <w:rPr>
          <w:rFonts w:ascii="Garamond" w:cs="Garamond" w:eastAsia="Garamond" w:hAnsi="Garamond"/>
          <w:color w:val="3D3730"/>
          <w:sz w:val="20"/>
          <w:szCs w:val="20"/>
        </w:rPr>
        <w:t xml:space="preserve"/>
      </w:r>
    </w:p>
    <w:tbl>
      <w:tblPr>
        <w:tblW w:type="dxa" w:w="9360"/>
        <w:tblBorders>
          <w:top w:val="none" w:color="auto" w:sz="0"/>
          <w:left w:val="none" w:color="auto" w:sz="0"/>
          <w:bottom w:val="none" w:color="auto" w:sz="0"/>
          <w:right w:val="none" w:color="auto" w:sz="0"/>
          <w:insideH w:val="single" w:color="auto" w:sz="4"/>
          <w:insideV w:val="single" w:color="auto" w:sz="4"/>
        </w:tblBorders>
      </w:tblPr>
      <w:tblGrid>
        <w:gridCol w:w="4500"/>
        <w:gridCol w:w="4860"/>
      </w:tblGrid>
      <w:tr>
        <w:tc>
          <w:tcPr>
            <w:tcW w:type="dxa" w:w="4500"/>
            <w:tcBorders>
              <w:top w:val="none" w:color="auto" w:sz="0"/>
              <w:left w:val="none" w:color="auto" w:sz="0"/>
              <w:bottom w:val="none" w:color="auto" w:sz="0"/>
              <w:right w:val="none" w:color="auto" w:sz="0"/>
            </w:tcBorders>
            <w:shd w:fill="8B6914" w:val="clear"/>
            <w:tcMar>
              <w:top w:type="dxa" w:w="160"/>
              <w:left w:type="dxa" w:w="200"/>
              <w:bottom w:type="dxa" w:w="160"/>
              <w:right w:type="dxa" w:w="200"/>
            </w:tcMar>
          </w:tcPr>
          <w:p>
            <w:pPr>
              <w:spacing w:after="0" w:before="0" w:line="276" w:lineRule="auto"/>
              <w:jc w:val="center"/>
            </w:pPr>
            <w:r>
              <w:rPr>
                <w:rFonts w:ascii="Garamond" w:cs="Garamond" w:eastAsia="Garamond" w:hAnsi="Garamond"/>
                <w:b/>
                <w:bCs/>
                <w:color w:val="FFFFFF"/>
                <w:sz w:val="18"/>
                <w:szCs w:val="18"/>
              </w:rPr>
              <w:t xml:space="preserve">PRECIO DE VENTA</w:t>
            </w:r>
          </w:p>
          <w:p>
            <w:pPr>
              <w:spacing w:after="0" w:before="0" w:line="276" w:lineRule="auto"/>
              <w:jc w:val="center"/>
            </w:pPr>
            <w:r>
              <w:rPr>
                <w:rFonts w:ascii="Garamond" w:cs="Garamond" w:eastAsia="Garamond" w:hAnsi="Garamond"/>
                <w:b/>
                <w:bCs/>
                <w:color w:val="FFFFFF"/>
                <w:sz w:val="36"/>
                <w:szCs w:val="36"/>
              </w:rPr>
              <w:t xml:space="preserve">USD $1,659,900</w:t>
            </w:r>
          </w:p>
          <w:p>
            <w:pPr>
              <w:spacing w:after="0" w:before="0" w:line="276" w:lineRule="auto"/>
              <w:jc w:val="center"/>
            </w:pPr>
            <w:r>
              <w:rPr>
                <w:rFonts w:ascii="Garamond" w:cs="Garamond" w:eastAsia="Garamond" w:hAnsi="Garamond"/>
                <w:color w:val="FFFFFF"/>
                <w:sz w:val="18"/>
                <w:szCs w:val="18"/>
              </w:rPr>
              <w:t xml:space="preserve">~$28,500,000 MXN  ·  A tratar</w:t>
            </w:r>
          </w:p>
        </w:tc>
        <w:tc>
          <w:tcPr>
            <w:tcW w:type="dxa" w:w="4860"/>
            <w:tcBorders>
              <w:top w:val="none" w:color="auto" w:sz="0"/>
              <w:left w:val="none" w:color="auto" w:sz="0"/>
              <w:bottom w:val="none" w:color="auto" w:sz="0"/>
              <w:right w:val="none" w:color="auto" w:sz="0"/>
            </w:tcBorders>
            <w:shd w:fill="F5F3EE" w:val="clear"/>
            <w:tcMar>
              <w:top w:type="dxa" w:w="120"/>
              <w:left w:type="dxa" w:w="200"/>
              <w:bottom w:type="dxa" w:w="120"/>
              <w:right w:type="dxa" w:w="200"/>
            </w:tcMar>
          </w:tcPr>
          <w:p>
            <w:pPr>
              <w:spacing w:after="0" w:before="0" w:line="276" w:lineRule="auto"/>
              <w:jc w:val="left"/>
            </w:pPr>
            <w:r>
              <w:rPr>
                <w:rFonts w:ascii="Garamond" w:cs="Garamond" w:eastAsia="Garamond" w:hAnsi="Garamond"/>
                <w:b/>
                <w:bCs/>
                <w:color w:val="3D3730"/>
                <w:sz w:val="18"/>
                <w:szCs w:val="18"/>
              </w:rPr>
              <w:t xml:space="preserve">Propietario:</w:t>
            </w:r>
          </w:p>
          <w:p>
            <w:pPr>
              <w:spacing w:after="0" w:before="0" w:line="276" w:lineRule="auto"/>
              <w:jc w:val="left"/>
            </w:pPr>
            <w:r>
              <w:rPr>
                <w:rFonts w:ascii="Garamond" w:cs="Garamond" w:eastAsia="Garamond" w:hAnsi="Garamond"/>
                <w:color w:val="3D3730"/>
                <w:sz w:val="18"/>
                <w:szCs w:val="18"/>
              </w:rPr>
              <w:t xml:space="preserve">"Lady Libertad" S.A. de C.V.</w:t>
            </w:r>
          </w:p>
          <w:p>
            <w:pPr>
              <w:spacing w:after="0" w:before="0" w:line="276" w:lineRule="auto"/>
              <w:jc w:val="left"/>
            </w:pPr>
            <w:r>
              <w:rPr>
                <w:rFonts w:ascii="Garamond" w:cs="Garamond" w:eastAsia="Garamond" w:hAnsi="Garamond"/>
                <w:color w:val="3D3730"/>
                <w:sz w:val="18"/>
                <w:szCs w:val="18"/>
              </w:rPr>
              <w:t xml:space="preserve">Tablaje: 412  ·  Clave Catastral: 03-029</w:t>
            </w:r>
          </w:p>
          <w:p>
            <w:pPr>
              <w:spacing w:after="0" w:before="0" w:line="276" w:lineRule="auto"/>
              <w:jc w:val="left"/>
            </w:pPr>
            <w:r>
              <w:rPr>
                <w:rFonts w:ascii="Garamond" w:cs="Garamond" w:eastAsia="Garamond" w:hAnsi="Garamond"/>
                <w:color w:val="3D3730"/>
                <w:sz w:val="18"/>
                <w:szCs w:val="18"/>
              </w:rPr>
              <w:t xml:space="preserve">Oficio: DCM/19/02/2026  ·  INSEJUPY</w:t>
            </w:r>
          </w:p>
          <w:p>
            <w:pPr>
              <w:spacing w:after="0" w:before="0" w:line="276" w:lineRule="auto"/>
              <w:jc w:val="left"/>
            </w:pPr>
            <w:r>
              <w:rPr>
                <w:rFonts w:ascii="Garamond" w:cs="Garamond" w:eastAsia="Garamond" w:hAnsi="Garamond"/>
                <w:color w:val="3D3730"/>
                <w:sz w:val="18"/>
                <w:szCs w:val="18"/>
              </w:rPr>
              <w:t xml:space="preserve">Perito: Ing. Wilbert Edwin Vázquez Castillo</w:t>
            </w:r>
          </w:p>
        </w:tc>
      </w:tr>
    </w:tbl>
    <w:p>
      <w:pPr>
        <w:spacing w:after="160" w:before="0" w:line="240" w:lineRule="auto"/>
        <w:jc w:val="left"/>
      </w:pPr>
      <w:r>
        <w:rPr>
          <w:rFonts w:ascii="Garamond" w:cs="Garamond" w:eastAsia="Garamond" w:hAnsi="Garamond"/>
          <w:color w:val="3D3730"/>
          <w:sz w:val="20"/>
          <w:szCs w:val="20"/>
        </w:rPr>
        <w:t xml:space="preserve"/>
      </w:r>
    </w:p>
    <w:tbl>
      <w:tblPr>
        <w:tblW w:type="dxa" w:w="9360"/>
        <w:tblBorders>
          <w:top w:val="none" w:color="auto" w:sz="0"/>
          <w:left w:val="none" w:color="auto" w:sz="0"/>
          <w:bottom w:val="none" w:color="auto" w:sz="0"/>
          <w:right w:val="none" w:color="auto" w:sz="0"/>
          <w:insideH w:val="single" w:color="auto" w:sz="4"/>
          <w:insideV w:val="single" w:color="auto" w:sz="4"/>
        </w:tblBorders>
      </w:tblPr>
      <w:tblGrid>
        <w:gridCol w:w="1560"/>
        <w:gridCol w:w="1560"/>
        <w:gridCol w:w="1560"/>
        <w:gridCol w:w="1560"/>
        <w:gridCol w:w="1560"/>
        <w:gridCol w:w="1560"/>
      </w:tblGrid>
      <w:tr>
        <w:tc>
          <w:tcPr>
            <w:tcW w:type="dxa" w:w="1560"/>
            <w:tcBorders>
              <w:top w:val="none" w:color="auto" w:sz="0"/>
              <w:left w:val="none" w:color="auto" w:sz="0"/>
              <w:bottom w:val="none" w:color="auto" w:sz="0"/>
              <w:right w:val="none" w:color="auto" w:sz="0"/>
            </w:tcBorders>
            <w:shd w:fill="1A1A1A" w:val="clear"/>
            <w:tcMar>
              <w:top w:type="dxa" w:w="100"/>
              <w:left w:type="dxa" w:w="40"/>
              <w:bottom w:type="dxa" w:w="100"/>
              <w:right w:type="dxa" w:w="40"/>
            </w:tcMar>
          </w:tcPr>
          <w:p>
            <w:pPr>
              <w:spacing w:after="0" w:before="0" w:line="276" w:lineRule="auto"/>
              <w:jc w:val="center"/>
            </w:pPr>
            <w:r>
              <w:rPr>
                <w:rFonts w:ascii="Garamond" w:cs="Garamond" w:eastAsia="Garamond" w:hAnsi="Garamond"/>
                <w:b/>
                <w:bCs/>
                <w:color w:val="8B6914"/>
                <w:sz w:val="24"/>
                <w:szCs w:val="24"/>
              </w:rPr>
              <w:t xml:space="preserve">1876</w:t>
            </w:r>
          </w:p>
          <w:p>
            <w:pPr>
              <w:spacing w:after="0" w:before="0" w:line="276" w:lineRule="auto"/>
              <w:jc w:val="center"/>
            </w:pPr>
            <w:r>
              <w:rPr>
                <w:rFonts w:ascii="Garamond" w:cs="Garamond" w:eastAsia="Garamond" w:hAnsi="Garamond"/>
                <w:color w:val="FFFFFF"/>
                <w:sz w:val="14"/>
                <w:szCs w:val="14"/>
              </w:rPr>
              <w:t xml:space="preserve">Año de construcción</w:t>
            </w:r>
          </w:p>
        </w:tc>
        <w:tc>
          <w:tcPr>
            <w:tcW w:type="dxa" w:w="1560"/>
            <w:tcBorders>
              <w:top w:val="none" w:color="auto" w:sz="0"/>
              <w:left w:val="none" w:color="auto" w:sz="0"/>
              <w:bottom w:val="none" w:color="auto" w:sz="0"/>
              <w:right w:val="none" w:color="auto" w:sz="0"/>
            </w:tcBorders>
            <w:shd w:fill="1A1A1A" w:val="clear"/>
            <w:tcMar>
              <w:top w:type="dxa" w:w="100"/>
              <w:left w:type="dxa" w:w="40"/>
              <w:bottom w:type="dxa" w:w="100"/>
              <w:right w:type="dxa" w:w="40"/>
            </w:tcMar>
          </w:tcPr>
          <w:p>
            <w:pPr>
              <w:spacing w:after="0" w:before="0" w:line="276" w:lineRule="auto"/>
              <w:jc w:val="center"/>
            </w:pPr>
            <w:r>
              <w:rPr>
                <w:rFonts w:ascii="Garamond" w:cs="Garamond" w:eastAsia="Garamond" w:hAnsi="Garamond"/>
                <w:b/>
                <w:bCs/>
                <w:color w:val="8B6914"/>
                <w:sz w:val="24"/>
                <w:szCs w:val="24"/>
              </w:rPr>
              <w:t xml:space="preserve">150</w:t>
            </w:r>
          </w:p>
          <w:p>
            <w:pPr>
              <w:spacing w:after="0" w:before="0" w:line="276" w:lineRule="auto"/>
              <w:jc w:val="center"/>
            </w:pPr>
            <w:r>
              <w:rPr>
                <w:rFonts w:ascii="Garamond" w:cs="Garamond" w:eastAsia="Garamond" w:hAnsi="Garamond"/>
                <w:color w:val="FFFFFF"/>
                <w:sz w:val="14"/>
                <w:szCs w:val="14"/>
              </w:rPr>
              <w:t xml:space="preserve">Años de historia</w:t>
            </w:r>
          </w:p>
        </w:tc>
        <w:tc>
          <w:tcPr>
            <w:tcW w:type="dxa" w:w="1560"/>
            <w:tcBorders>
              <w:top w:val="none" w:color="auto" w:sz="0"/>
              <w:left w:val="none" w:color="auto" w:sz="0"/>
              <w:bottom w:val="none" w:color="auto" w:sz="0"/>
              <w:right w:val="none" w:color="auto" w:sz="0"/>
            </w:tcBorders>
            <w:shd w:fill="1A1A1A" w:val="clear"/>
            <w:tcMar>
              <w:top w:type="dxa" w:w="100"/>
              <w:left w:type="dxa" w:w="40"/>
              <w:bottom w:type="dxa" w:w="100"/>
              <w:right w:type="dxa" w:w="40"/>
            </w:tcMar>
          </w:tcPr>
          <w:p>
            <w:pPr>
              <w:spacing w:after="0" w:before="0" w:line="276" w:lineRule="auto"/>
              <w:jc w:val="center"/>
            </w:pPr>
            <w:r>
              <w:rPr>
                <w:rFonts w:ascii="Garamond" w:cs="Garamond" w:eastAsia="Garamond" w:hAnsi="Garamond"/>
                <w:b/>
                <w:bCs/>
                <w:color w:val="8B6914"/>
                <w:sz w:val="24"/>
                <w:szCs w:val="24"/>
              </w:rPr>
              <w:t xml:space="preserve">1.35 ha</w:t>
            </w:r>
          </w:p>
          <w:p>
            <w:pPr>
              <w:spacing w:after="0" w:before="0" w:line="276" w:lineRule="auto"/>
              <w:jc w:val="center"/>
            </w:pPr>
            <w:r>
              <w:rPr>
                <w:rFonts w:ascii="Garamond" w:cs="Garamond" w:eastAsia="Garamond" w:hAnsi="Garamond"/>
                <w:color w:val="FFFFFF"/>
                <w:sz w:val="14"/>
                <w:szCs w:val="14"/>
              </w:rPr>
              <w:t xml:space="preserve">Terreno</w:t>
            </w:r>
          </w:p>
        </w:tc>
        <w:tc>
          <w:tcPr>
            <w:tcW w:type="dxa" w:w="1560"/>
            <w:tcBorders>
              <w:top w:val="none" w:color="auto" w:sz="0"/>
              <w:left w:val="none" w:color="auto" w:sz="0"/>
              <w:bottom w:val="none" w:color="auto" w:sz="0"/>
              <w:right w:val="none" w:color="auto" w:sz="0"/>
            </w:tcBorders>
            <w:shd w:fill="1A1A1A" w:val="clear"/>
            <w:tcMar>
              <w:top w:type="dxa" w:w="100"/>
              <w:left w:type="dxa" w:w="40"/>
              <w:bottom w:type="dxa" w:w="100"/>
              <w:right w:type="dxa" w:w="40"/>
            </w:tcMar>
          </w:tcPr>
          <w:p>
            <w:pPr>
              <w:spacing w:after="0" w:before="0" w:line="276" w:lineRule="auto"/>
              <w:jc w:val="center"/>
            </w:pPr>
            <w:r>
              <w:rPr>
                <w:rFonts w:ascii="Garamond" w:cs="Garamond" w:eastAsia="Garamond" w:hAnsi="Garamond"/>
                <w:b/>
                <w:bCs/>
                <w:color w:val="8B6914"/>
                <w:sz w:val="24"/>
                <w:szCs w:val="24"/>
              </w:rPr>
              <w:t xml:space="preserve">817 m²</w:t>
            </w:r>
          </w:p>
          <w:p>
            <w:pPr>
              <w:spacing w:after="0" w:before="0" w:line="276" w:lineRule="auto"/>
              <w:jc w:val="center"/>
            </w:pPr>
            <w:r>
              <w:rPr>
                <w:rFonts w:ascii="Garamond" w:cs="Garamond" w:eastAsia="Garamond" w:hAnsi="Garamond"/>
                <w:color w:val="FFFFFF"/>
                <w:sz w:val="14"/>
                <w:szCs w:val="14"/>
              </w:rPr>
              <w:t xml:space="preserve">Construcción</w:t>
            </w:r>
          </w:p>
        </w:tc>
        <w:tc>
          <w:tcPr>
            <w:tcW w:type="dxa" w:w="1560"/>
            <w:tcBorders>
              <w:top w:val="none" w:color="auto" w:sz="0"/>
              <w:left w:val="none" w:color="auto" w:sz="0"/>
              <w:bottom w:val="none" w:color="auto" w:sz="0"/>
              <w:right w:val="none" w:color="auto" w:sz="0"/>
            </w:tcBorders>
            <w:shd w:fill="1A1A1A" w:val="clear"/>
            <w:tcMar>
              <w:top w:type="dxa" w:w="100"/>
              <w:left w:type="dxa" w:w="40"/>
              <w:bottom w:type="dxa" w:w="100"/>
              <w:right w:type="dxa" w:w="40"/>
            </w:tcMar>
          </w:tcPr>
          <w:p>
            <w:pPr>
              <w:spacing w:after="0" w:before="0" w:line="276" w:lineRule="auto"/>
              <w:jc w:val="center"/>
            </w:pPr>
            <w:r>
              <w:rPr>
                <w:rFonts w:ascii="Garamond" w:cs="Garamond" w:eastAsia="Garamond" w:hAnsi="Garamond"/>
                <w:b/>
                <w:bCs/>
                <w:color w:val="8B6914"/>
                <w:sz w:val="24"/>
                <w:szCs w:val="24"/>
              </w:rPr>
              <w:t xml:space="preserve">2019</w:t>
            </w:r>
          </w:p>
          <w:p>
            <w:pPr>
              <w:spacing w:after="0" w:before="0" w:line="276" w:lineRule="auto"/>
              <w:jc w:val="center"/>
            </w:pPr>
            <w:r>
              <w:rPr>
                <w:rFonts w:ascii="Garamond" w:cs="Garamond" w:eastAsia="Garamond" w:hAnsi="Garamond"/>
                <w:color w:val="FFFFFF"/>
                <w:sz w:val="14"/>
                <w:szCs w:val="14"/>
              </w:rPr>
              <w:t xml:space="preserve">Restauración</w:t>
            </w:r>
          </w:p>
        </w:tc>
        <w:tc>
          <w:tcPr>
            <w:tcW w:type="dxa" w:w="1560"/>
            <w:tcBorders>
              <w:top w:val="none" w:color="auto" w:sz="0"/>
              <w:left w:val="none" w:color="auto" w:sz="0"/>
              <w:bottom w:val="none" w:color="auto" w:sz="0"/>
              <w:right w:val="none" w:color="auto" w:sz="0"/>
            </w:tcBorders>
            <w:shd w:fill="1A1A1A" w:val="clear"/>
            <w:tcMar>
              <w:top w:type="dxa" w:w="100"/>
              <w:left w:type="dxa" w:w="40"/>
              <w:bottom w:type="dxa" w:w="100"/>
              <w:right w:type="dxa" w:w="40"/>
            </w:tcMar>
          </w:tcPr>
          <w:p>
            <w:pPr>
              <w:spacing w:after="0" w:before="0" w:line="276" w:lineRule="auto"/>
              <w:jc w:val="center"/>
            </w:pPr>
            <w:r>
              <w:rPr>
                <w:rFonts w:ascii="Garamond" w:cs="Garamond" w:eastAsia="Garamond" w:hAnsi="Garamond"/>
                <w:b/>
                <w:bCs/>
                <w:color w:val="8B6914"/>
                <w:sz w:val="24"/>
                <w:szCs w:val="24"/>
              </w:rPr>
              <w:t xml:space="preserve">20 mi</w:t>
            </w:r>
          </w:p>
          <w:p>
            <w:pPr>
              <w:spacing w:after="0" w:before="0" w:line="276" w:lineRule="auto"/>
              <w:jc w:val="center"/>
            </w:pPr>
            <w:r>
              <w:rPr>
                <w:rFonts w:ascii="Garamond" w:cs="Garamond" w:eastAsia="Garamond" w:hAnsi="Garamond"/>
                <w:color w:val="FFFFFF"/>
                <w:sz w:val="14"/>
                <w:szCs w:val="14"/>
              </w:rPr>
              <w:t xml:space="preserve">de Mérida</w:t>
            </w:r>
          </w:p>
        </w:tc>
      </w:tr>
    </w:tbl>
    <w:p>
      <w:pPr>
        <w:spacing w:after="200" w:before="0" w:line="240" w:lineRule="auto"/>
        <w:jc w:val="left"/>
      </w:pPr>
      <w:r>
        <w:rPr>
          <w:rFonts w:ascii="Garamond" w:cs="Garamond" w:eastAsia="Garamond" w:hAnsi="Garamond"/>
          <w:color w:val="3D3730"/>
          <w:sz w:val="20"/>
          <w:szCs w:val="20"/>
        </w:rPr>
        <w:t xml:space="preserve"/>
      </w:r>
    </w:p>
    <w:tbl>
      <w:tblPr>
        <w:tblW w:type="dxa" w:w="9360"/>
        <w:tblBorders>
          <w:top w:val="none" w:color="auto" w:sz="0"/>
          <w:left w:val="none" w:color="auto" w:sz="0"/>
          <w:bottom w:val="none" w:color="auto" w:sz="0"/>
          <w:right w:val="none" w:color="auto" w:sz="0"/>
          <w:insideH w:val="single" w:color="auto" w:sz="4"/>
          <w:insideV w:val="single" w:color="auto" w:sz="4"/>
        </w:tblBorders>
      </w:tblPr>
      <w:tblGrid>
        <w:gridCol w:w="9360"/>
      </w:tblGrid>
      <w:tr>
        <w:tc>
          <w:tcPr>
            <w:tcBorders>
              <w:top w:val="none" w:color="auto" w:sz="0"/>
              <w:left w:val="none" w:color="auto" w:sz="0"/>
              <w:bottom w:val="none" w:color="auto" w:sz="0"/>
              <w:right w:val="none" w:color="auto" w:sz="0"/>
            </w:tcBorders>
            <w:shd w:fill="8B6914" w:val="clear"/>
            <w:tcMar>
              <w:top w:type="dxa" w:w="80"/>
              <w:left w:type="dxa" w:w="160"/>
              <w:bottom w:type="dxa" w:w="80"/>
              <w:right w:type="dxa" w:w="160"/>
            </w:tcMar>
          </w:tcPr>
          <w:p>
            <w:pPr>
              <w:spacing w:after="0" w:before="0" w:line="276" w:lineRule="auto"/>
              <w:jc w:val="left"/>
            </w:pPr>
            <w:r>
              <w:rPr>
                <w:rFonts w:ascii="Garamond" w:cs="Garamond" w:eastAsia="Garamond" w:hAnsi="Garamond"/>
                <w:b/>
                <w:bCs/>
                <w:color w:val="FFFFFF"/>
                <w:sz w:val="22"/>
                <w:szCs w:val="22"/>
              </w:rPr>
              <w:t xml:space="preserve">I.  HISTORIA Y CONTEXTO HISTÓRICO</w:t>
            </w:r>
          </w:p>
        </w:tc>
      </w:tr>
    </w:tbl>
    <w:p>
      <w:pPr>
        <w:spacing w:after="80" w:before="0" w:line="240" w:lineRule="auto"/>
        <w:jc w:val="left"/>
      </w:pPr>
      <w:r>
        <w:rPr>
          <w:rFonts w:ascii="Garamond" w:cs="Garamond" w:eastAsia="Garamond" w:hAnsi="Garamond"/>
          <w:color w:val="3D3730"/>
          <w:sz w:val="20"/>
          <w:szCs w:val="20"/>
        </w:rPr>
        <w:t xml:space="preserve"/>
      </w:r>
    </w:p>
    <w:p>
      <w:pPr>
        <w:spacing w:after="120" w:before="0" w:line="300" w:lineRule="auto"/>
        <w:jc w:val="left"/>
      </w:pPr>
      <w:r>
        <w:rPr>
          <w:rFonts w:ascii="Garamond" w:cs="Garamond" w:eastAsia="Garamond" w:hAnsi="Garamond"/>
          <w:color w:val="3D3730"/>
          <w:sz w:val="20"/>
          <w:szCs w:val="20"/>
        </w:rPr>
        <w:t xml:space="preserve">La Hacienda Santo Domingo fue construida en 1876 — inicio exacto del Porfiriato (1876-1911), la era de oro del henequén yucateco. Más de un millar de haciendas operaban en Yucatán produciendo el "oro verde" que abastecía el mercado norteamericano, impulsado por la invención de la engavilladora McCormick (1878) que hizo al henequén indispensable para las cosechas de trigo en Estados Unidos.</w:t>
      </w:r>
    </w:p>
    <w:p>
      <w:pPr>
        <w:spacing w:after="120" w:before="0" w:line="300" w:lineRule="auto"/>
        <w:jc w:val="left"/>
      </w:pPr>
      <w:r>
        <w:rPr>
          <w:rFonts w:ascii="Garamond" w:cs="Garamond" w:eastAsia="Garamond" w:hAnsi="Garamond"/>
          <w:color w:val="3D3730"/>
          <w:sz w:val="20"/>
          <w:szCs w:val="20"/>
        </w:rPr>
        <w:t xml:space="preserve">Esta hacienda sobrevivió 150 años de historia y fue completamente restaurada en 2019, conservando su arquitectura colonial original con los acabados y comodidades del siglo XXI. Cuenta con 10 recámaras, 11 baños, 6 casitas independientes, cenote en la zona, sistema solar completo, generador diésel industrial, Starlink y jardines tropicales maduros con riego automatizado. Operación vacacional activa en Tripadvisor y Airbnb.</w:t>
      </w:r>
    </w:p>
    <w:p>
      <w:pPr>
        <w:spacing w:after="0" w:before="0" w:line="300" w:lineRule="auto"/>
        <w:jc w:val="left"/>
      </w:pPr>
      <w:r>
        <w:rPr>
          <w:rFonts w:ascii="Garamond" w:cs="Garamond" w:eastAsia="Garamond" w:hAnsi="Garamond"/>
          <w:b/>
          <w:bCs/>
          <w:color w:val="8B6914"/>
          <w:sz w:val="20"/>
          <w:szCs w:val="20"/>
        </w:rPr>
        <w:t xml:space="preserve">No es una ruina rescatada.</w:t>
      </w:r>
      <w:r>
        <w:rPr>
          <w:rFonts w:ascii="Garamond" w:cs="Garamond" w:eastAsia="Garamond" w:hAnsi="Garamond"/>
          <w:color w:val="3D3730"/>
          <w:sz w:val="20"/>
          <w:szCs w:val="20"/>
        </w:rPr>
        <w:t xml:space="preserve">  Es un activo operativo, amueblado, con historial comprobable de renta vacacional, listo para generar flujo desde el primer día de posesión.</w:t>
      </w:r>
    </w:p>
    <w:p>
      <w:pPr>
        <w:spacing w:after="160" w:before="0" w:line="240" w:lineRule="auto"/>
        <w:jc w:val="left"/>
      </w:pPr>
      <w:r>
        <w:rPr>
          <w:rFonts w:ascii="Garamond" w:cs="Garamond" w:eastAsia="Garamond" w:hAnsi="Garamond"/>
          <w:color w:val="3D3730"/>
          <w:sz w:val="20"/>
          <w:szCs w:val="20"/>
        </w:rPr>
        <w:t xml:space="preserve"/>
      </w:r>
    </w:p>
    <w:tbl>
      <w:tblPr>
        <w:tblW w:type="dxa" w:w="9360"/>
        <w:tblBorders>
          <w:top w:val="none" w:color="auto" w:sz="0"/>
          <w:left w:val="none" w:color="auto" w:sz="0"/>
          <w:bottom w:val="none" w:color="auto" w:sz="0"/>
          <w:right w:val="none" w:color="auto" w:sz="0"/>
          <w:insideH w:val="single" w:color="auto" w:sz="4"/>
          <w:insideV w:val="single" w:color="auto" w:sz="4"/>
        </w:tblBorders>
      </w:tblPr>
      <w:tblGrid>
        <w:gridCol w:w="9360"/>
      </w:tblGrid>
      <w:tr>
        <w:tc>
          <w:tcPr>
            <w:tcBorders>
              <w:top w:val="none" w:color="auto" w:sz="0"/>
              <w:left w:val="none" w:color="auto" w:sz="0"/>
              <w:bottom w:val="none" w:color="auto" w:sz="0"/>
              <w:right w:val="none" w:color="auto" w:sz="0"/>
            </w:tcBorders>
            <w:shd w:fill="8B6914" w:val="clear"/>
            <w:tcMar>
              <w:top w:type="dxa" w:w="80"/>
              <w:left w:type="dxa" w:w="160"/>
              <w:bottom w:type="dxa" w:w="80"/>
              <w:right w:type="dxa" w:w="160"/>
            </w:tcMar>
          </w:tcPr>
          <w:p>
            <w:pPr>
              <w:spacing w:after="0" w:before="0" w:line="276" w:lineRule="auto"/>
              <w:jc w:val="left"/>
            </w:pPr>
            <w:r>
              <w:rPr>
                <w:rFonts w:ascii="Garamond" w:cs="Garamond" w:eastAsia="Garamond" w:hAnsi="Garamond"/>
                <w:b/>
                <w:bCs/>
                <w:color w:val="FFFFFF"/>
                <w:sz w:val="22"/>
                <w:szCs w:val="22"/>
              </w:rPr>
              <w:t xml:space="preserve">II.  DESCRIPCIÓN DEL INMUEBLE</w:t>
            </w:r>
          </w:p>
        </w:tc>
      </w:tr>
    </w:tbl>
    <w:p>
      <w:pPr>
        <w:spacing w:after="80" w:before="0" w:line="240" w:lineRule="auto"/>
        <w:jc w:val="left"/>
      </w:pPr>
      <w:r>
        <w:rPr>
          <w:rFonts w:ascii="Garamond" w:cs="Garamond" w:eastAsia="Garamond" w:hAnsi="Garamond"/>
          <w:color w:val="3D3730"/>
          <w:sz w:val="20"/>
          <w:szCs w:val="20"/>
        </w:rPr>
        <w:t xml:space="preserve"/>
      </w:r>
    </w:p>
    <w:tbl>
      <w:tblPr>
        <w:tblW w:type="dxa" w:w="9360"/>
        <w:tblBorders>
          <w:top w:val="none" w:color="auto" w:sz="0"/>
          <w:left w:val="none" w:color="auto" w:sz="0"/>
          <w:bottom w:val="none" w:color="auto" w:sz="0"/>
          <w:right w:val="none" w:color="auto" w:sz="0"/>
          <w:insideH w:val="single" w:color="auto" w:sz="4"/>
          <w:insideV w:val="single" w:color="auto" w:sz="4"/>
        </w:tblBorders>
      </w:tblPr>
      <w:tblGrid>
        <w:gridCol w:w="3200"/>
        <w:gridCol w:w="6160"/>
      </w:tblGrid>
      <w:tr>
        <w:tc>
          <w:tcPr>
            <w:tcW w:type="dxa" w:w="320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Tipo de inmueble:</w:t>
            </w:r>
          </w:p>
        </w:tc>
        <w:tc>
          <w:tcPr>
            <w:tcW w:type="dxa" w:w="616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Hacienda henequenera histórica · Rústico / Uso Habitacional</w:t>
            </w:r>
          </w:p>
        </w:tc>
      </w:tr>
      <w:tr>
        <w:tc>
          <w:tcPr>
            <w:tcW w:type="dxa" w:w="320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Propietario:</w:t>
            </w:r>
          </w:p>
        </w:tc>
        <w:tc>
          <w:tcPr>
            <w:tcW w:type="dxa" w:w="616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"Lady Libertad" Sociedad Anónima de Capital Variable</w:t>
            </w:r>
          </w:p>
        </w:tc>
      </w:tr>
      <w:tr>
        <w:tc>
          <w:tcPr>
            <w:tcW w:type="dxa" w:w="320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Clave catastral:</w:t>
            </w:r>
          </w:p>
        </w:tc>
        <w:tc>
          <w:tcPr>
            <w:tcW w:type="dxa" w:w="616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03-029  ·  Tablaje 412  ·  Colonia Santo Domingo  ·  Acanceh</w:t>
            </w:r>
          </w:p>
        </w:tc>
      </w:tr>
      <w:tr>
        <w:tc>
          <w:tcPr>
            <w:tcW w:type="dxa" w:w="320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Terreno:</w:t>
            </w:r>
          </w:p>
        </w:tc>
        <w:tc>
          <w:tcPr>
            <w:tcW w:type="dxa" w:w="616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13,500 m² / 1.35 hectáreas</w:t>
            </w:r>
          </w:p>
        </w:tc>
      </w:tr>
      <w:tr>
        <w:tc>
          <w:tcPr>
            <w:tcW w:type="dxa" w:w="320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Construcción:</w:t>
            </w:r>
          </w:p>
        </w:tc>
        <w:tc>
          <w:tcPr>
            <w:tcW w:type="dxa" w:w="616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817 m²  ·  CO1 / CO2 / PA1 / Volados VO·CO1 / VO·TE1</w:t>
            </w:r>
          </w:p>
        </w:tc>
      </w:tr>
      <w:tr>
        <w:tc>
          <w:tcPr>
            <w:tcW w:type="dxa" w:w="320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Avalúo catastral terreno:</w:t>
            </w:r>
          </w:p>
        </w:tc>
        <w:tc>
          <w:tcPr>
            <w:tcW w:type="dxa" w:w="616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$ 15,559.92  (INSEJUPY · Feb 2026)</w:t>
            </w:r>
          </w:p>
        </w:tc>
      </w:tr>
      <w:tr>
        <w:tc>
          <w:tcPr>
            <w:tcW w:type="dxa" w:w="320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Avalúo catastral construc.:</w:t>
            </w:r>
          </w:p>
        </w:tc>
        <w:tc>
          <w:tcPr>
            <w:tcW w:type="dxa" w:w="616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$ 984,480.32  (INSEJUPY · Feb 2026)</w:t>
            </w:r>
          </w:p>
        </w:tc>
      </w:tr>
      <w:tr>
        <w:tc>
          <w:tcPr>
            <w:tcW w:type="dxa" w:w="320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Avalúo catastral TOTAL:</w:t>
            </w:r>
          </w:p>
        </w:tc>
        <w:tc>
          <w:tcPr>
            <w:tcW w:type="dxa" w:w="616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$ 999,970.54 MXN  (INSEJUPY · Feb 2026)</w:t>
            </w:r>
          </w:p>
        </w:tc>
      </w:tr>
      <w:tr>
        <w:tc>
          <w:tcPr>
            <w:tcW w:type="dxa" w:w="320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Oficio catastral:</w:t>
            </w:r>
          </w:p>
        </w:tc>
        <w:tc>
          <w:tcPr>
            <w:tcW w:type="dxa" w:w="616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DCM/19/02/2026  ·  Dirección de Catastro Municipal Acanceh</w:t>
            </w:r>
          </w:p>
        </w:tc>
      </w:tr>
      <w:tr>
        <w:tc>
          <w:tcPr>
            <w:tcW w:type="dxa" w:w="320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Estado de conservación:</w:t>
            </w:r>
          </w:p>
        </w:tc>
        <w:tc>
          <w:tcPr>
            <w:tcW w:type="dxa" w:w="616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Excelente · ~95% restaurada · Totalmente amueblada</w:t>
            </w:r>
          </w:p>
        </w:tc>
      </w:tr>
      <w:tr>
        <w:tc>
          <w:tcPr>
            <w:tcW w:type="dxa" w:w="320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Precio de venta:</w:t>
            </w:r>
          </w:p>
        </w:tc>
        <w:tc>
          <w:tcPr>
            <w:tcW w:type="dxa" w:w="616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USD $1,659,900  (~$28,500,000 MXN)  ·  A tratar</w:t>
            </w:r>
          </w:p>
        </w:tc>
      </w:tr>
    </w:tbl>
    <w:p>
      <w:pPr>
        <w:spacing w:after="160" w:before="0" w:line="240" w:lineRule="auto"/>
        <w:jc w:val="left"/>
      </w:pPr>
      <w:r>
        <w:rPr>
          <w:rFonts w:ascii="Garamond" w:cs="Garamond" w:eastAsia="Garamond" w:hAnsi="Garamond"/>
          <w:color w:val="3D3730"/>
          <w:sz w:val="20"/>
          <w:szCs w:val="20"/>
        </w:rPr>
        <w:t xml:space="preserve"/>
      </w:r>
    </w:p>
    <w:tbl>
      <w:tblPr>
        <w:tblW w:type="dxa" w:w="9360"/>
        <w:tblBorders>
          <w:top w:val="none" w:color="auto" w:sz="0"/>
          <w:left w:val="none" w:color="auto" w:sz="0"/>
          <w:bottom w:val="none" w:color="auto" w:sz="0"/>
          <w:right w:val="none" w:color="auto" w:sz="0"/>
          <w:insideH w:val="single" w:color="auto" w:sz="4"/>
          <w:insideV w:val="single" w:color="auto" w:sz="4"/>
        </w:tblBorders>
      </w:tblPr>
      <w:tblGrid>
        <w:gridCol w:w="9360"/>
      </w:tblGrid>
      <w:tr>
        <w:tc>
          <w:tcPr>
            <w:tcBorders>
              <w:top w:val="none" w:color="auto" w:sz="0"/>
              <w:left w:val="none" w:color="auto" w:sz="0"/>
              <w:bottom w:val="none" w:color="auto" w:sz="0"/>
              <w:right w:val="none" w:color="auto" w:sz="0"/>
            </w:tcBorders>
            <w:shd w:fill="8B6914" w:val="clear"/>
            <w:tcMar>
              <w:top w:type="dxa" w:w="80"/>
              <w:left w:type="dxa" w:w="160"/>
              <w:bottom w:type="dxa" w:w="80"/>
              <w:right w:type="dxa" w:w="160"/>
            </w:tcMar>
          </w:tcPr>
          <w:p>
            <w:pPr>
              <w:spacing w:after="0" w:before="0" w:line="276" w:lineRule="auto"/>
              <w:jc w:val="left"/>
            </w:pPr>
            <w:r>
              <w:rPr>
                <w:rFonts w:ascii="Garamond" w:cs="Garamond" w:eastAsia="Garamond" w:hAnsi="Garamond"/>
                <w:b/>
                <w:bCs/>
                <w:color w:val="FFFFFF"/>
                <w:sz w:val="22"/>
                <w:szCs w:val="22"/>
              </w:rPr>
              <w:t xml:space="preserve">III.  CARACTERÍSTICAS DESTACADAS</w:t>
            </w:r>
          </w:p>
        </w:tc>
      </w:tr>
    </w:tbl>
    <w:p>
      <w:pPr>
        <w:spacing w:after="80" w:before="0" w:line="240" w:lineRule="auto"/>
        <w:jc w:val="left"/>
      </w:pPr>
      <w:r>
        <w:rPr>
          <w:rFonts w:ascii="Garamond" w:cs="Garamond" w:eastAsia="Garamond" w:hAnsi="Garamond"/>
          <w:color w:val="3D3730"/>
          <w:sz w:val="20"/>
          <w:szCs w:val="20"/>
        </w:rPr>
        <w:t xml:space="preserve"/>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Arquitectura colonial porfiriana original · 150 años de historia</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Restauración integral 2019 · ~95% completada · Totalmente amueblada</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10 recámaras · 11 baños completos</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6 casitas independientes con privacidad total para huéspedes</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Alberca estilo resort con área de descanso</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Cenote en la zona — acceso privilegiado sobre la Ruta de los Cenotes</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Jardines tropicales maduros con sistema de riego automatizado</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5 pozos de agua privados</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Sistema de energía solar completo — independencia energética total</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Generador diésel industrial — operación garantizada ante huracanes, cortes o emergencias</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Conectividad Starlink</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Terreno de 13,500 m² / 1.35 hectáreas</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Renta vacacional activa en Tripadvisor y Airbnb</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A 20 millas (~30 min) del centro histórico de Mérida</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Sin escaleras · planta baja · accesible</w:t>
      </w:r>
    </w:p>
    <w:p>
      <w:pPr>
        <w:spacing w:after="160" w:before="0" w:line="240" w:lineRule="auto"/>
        <w:jc w:val="left"/>
      </w:pPr>
      <w:r>
        <w:rPr>
          <w:rFonts w:ascii="Garamond" w:cs="Garamond" w:eastAsia="Garamond" w:hAnsi="Garamond"/>
          <w:color w:val="3D3730"/>
          <w:sz w:val="20"/>
          <w:szCs w:val="20"/>
        </w:rPr>
        <w:t xml:space="preserve"/>
      </w:r>
    </w:p>
    <w:tbl>
      <w:tblPr>
        <w:tblW w:type="dxa" w:w="9360"/>
        <w:tblBorders>
          <w:top w:val="none" w:color="auto" w:sz="0"/>
          <w:left w:val="none" w:color="auto" w:sz="0"/>
          <w:bottom w:val="none" w:color="auto" w:sz="0"/>
          <w:right w:val="none" w:color="auto" w:sz="0"/>
          <w:insideH w:val="single" w:color="auto" w:sz="4"/>
          <w:insideV w:val="single" w:color="auto" w:sz="4"/>
        </w:tblBorders>
      </w:tblPr>
      <w:tblGrid>
        <w:gridCol w:w="9360"/>
      </w:tblGrid>
      <w:tr>
        <w:tc>
          <w:tcPr>
            <w:tcBorders>
              <w:top w:val="none" w:color="auto" w:sz="0"/>
              <w:left w:val="none" w:color="auto" w:sz="0"/>
              <w:bottom w:val="none" w:color="auto" w:sz="0"/>
              <w:right w:val="none" w:color="auto" w:sz="0"/>
            </w:tcBorders>
            <w:shd w:fill="8B6914" w:val="clear"/>
            <w:tcMar>
              <w:top w:type="dxa" w:w="80"/>
              <w:left w:type="dxa" w:w="160"/>
              <w:bottom w:type="dxa" w:w="80"/>
              <w:right w:type="dxa" w:w="160"/>
            </w:tcMar>
          </w:tcPr>
          <w:p>
            <w:pPr>
              <w:spacing w:after="0" w:before="0" w:line="276" w:lineRule="auto"/>
              <w:jc w:val="left"/>
            </w:pPr>
            <w:r>
              <w:rPr>
                <w:rFonts w:ascii="Garamond" w:cs="Garamond" w:eastAsia="Garamond" w:hAnsi="Garamond"/>
                <w:b/>
                <w:bCs/>
                <w:color w:val="FFFFFF"/>
                <w:sz w:val="22"/>
                <w:szCs w:val="22"/>
              </w:rPr>
              <w:t xml:space="preserve">IV.  UBICACIÓN Y CONECTIVIDAD</w:t>
            </w:r>
          </w:p>
        </w:tc>
      </w:tr>
    </w:tbl>
    <w:p>
      <w:pPr>
        <w:spacing w:after="80" w:before="0" w:line="240" w:lineRule="auto"/>
        <w:jc w:val="left"/>
      </w:pPr>
      <w:r>
        <w:rPr>
          <w:rFonts w:ascii="Garamond" w:cs="Garamond" w:eastAsia="Garamond" w:hAnsi="Garamond"/>
          <w:color w:val="3D3730"/>
          <w:sz w:val="20"/>
          <w:szCs w:val="20"/>
        </w:rPr>
        <w:t xml:space="preserve"/>
      </w:r>
    </w:p>
    <w:tbl>
      <w:tblPr>
        <w:tblW w:type="dxa" w:w="9360"/>
        <w:tblBorders>
          <w:top w:val="none" w:color="auto" w:sz="0"/>
          <w:left w:val="none" w:color="auto" w:sz="0"/>
          <w:bottom w:val="none" w:color="auto" w:sz="0"/>
          <w:right w:val="none" w:color="auto" w:sz="0"/>
          <w:insideH w:val="single" w:color="auto" w:sz="4"/>
          <w:insideV w:val="single" w:color="auto" w:sz="4"/>
        </w:tblBorders>
      </w:tblPr>
      <w:tblGrid>
        <w:gridCol w:w="3200"/>
        <w:gridCol w:w="6160"/>
      </w:tblGrid>
      <w:tr>
        <w:tc>
          <w:tcPr>
            <w:tcW w:type="dxa" w:w="320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Municipio / Estado:</w:t>
            </w:r>
          </w:p>
        </w:tc>
        <w:tc>
          <w:tcPr>
            <w:tcW w:type="dxa" w:w="616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Acanceh, Yucatán, México — Ruta de los Cenotes</w:t>
            </w:r>
          </w:p>
        </w:tc>
      </w:tr>
      <w:tr>
        <w:tc>
          <w:tcPr>
            <w:tcW w:type="dxa" w:w="320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Distancia a Mérida:</w:t>
            </w:r>
          </w:p>
        </w:tc>
        <w:tc>
          <w:tcPr>
            <w:tcW w:type="dxa" w:w="616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20 millas · ~30 min en auto</w:t>
            </w:r>
          </w:p>
        </w:tc>
      </w:tr>
      <w:tr>
        <w:tc>
          <w:tcPr>
            <w:tcW w:type="dxa" w:w="320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Aeropuerto:</w:t>
            </w:r>
          </w:p>
        </w:tc>
        <w:tc>
          <w:tcPr>
            <w:tcW w:type="dxa" w:w="616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~45 min del Aeropuerto Internacional de Mérida (MID)</w:t>
            </w:r>
          </w:p>
        </w:tc>
      </w:tr>
      <w:tr>
        <w:tc>
          <w:tcPr>
            <w:tcW w:type="dxa" w:w="320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Cenotes cercanos:</w:t>
            </w:r>
          </w:p>
        </w:tc>
        <w:tc>
          <w:tcPr>
            <w:tcW w:type="dxa" w:w="616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Cenote en la zona · Samulá, X'Kekén (Valladolid ~60 km)</w:t>
            </w:r>
          </w:p>
        </w:tc>
      </w:tr>
      <w:tr>
        <w:tc>
          <w:tcPr>
            <w:tcW w:type="dxa" w:w="320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Sitios arqueológicos:</w:t>
            </w:r>
          </w:p>
        </w:tc>
        <w:tc>
          <w:tcPr>
            <w:tcW w:type="dxa" w:w="616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Zona Maya de Acanceh (2 km)  ·  Uxmal (50 km)  ·  Chichén Itzá (90 km)</w:t>
            </w:r>
          </w:p>
        </w:tc>
      </w:tr>
      <w:tr>
        <w:tc>
          <w:tcPr>
            <w:tcW w:type="dxa" w:w="320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Acceso:</w:t>
            </w:r>
          </w:p>
        </w:tc>
        <w:tc>
          <w:tcPr>
            <w:tcW w:type="dxa" w:w="6160"/>
            <w:tcBorders>
              <w:top w:val="none" w:color="auto" w:sz="0"/>
              <w:left w:val="none" w:color="auto" w:sz="0"/>
              <w:bottom w:val="none" w:color="auto" w:sz="0"/>
              <w:right w:val="none" w:color="auto" w:sz="0"/>
            </w:tcBorders>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Carretera pavimentada · transporte disponible desde Mérida</w:t>
            </w:r>
          </w:p>
        </w:tc>
      </w:tr>
      <w:tr>
        <w:tc>
          <w:tcPr>
            <w:tcW w:type="dxa" w:w="320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b/>
                <w:bCs/>
                <w:color w:val="3D3730"/>
                <w:sz w:val="18"/>
                <w:szCs w:val="18"/>
              </w:rPr>
              <w:t xml:space="preserve">Corredor turístico:</w:t>
            </w:r>
          </w:p>
        </w:tc>
        <w:tc>
          <w:tcPr>
            <w:tcW w:type="dxa" w:w="6160"/>
            <w:tcBorders>
              <w:top w:val="none" w:color="auto" w:sz="0"/>
              <w:left w:val="none" w:color="auto" w:sz="0"/>
              <w:bottom w:val="none" w:color="auto" w:sz="0"/>
              <w:right w:val="none" w:color="auto" w:sz="0"/>
            </w:tcBorders>
            <w:shd w:fill="F5F3EE" w:val="clear"/>
            <w:tcMar>
              <w:top w:type="dxa" w:w="60"/>
              <w:left w:type="dxa" w:w="100"/>
              <w:bottom w:type="dxa" w:w="60"/>
              <w:right w:type="dxa" w:w="100"/>
            </w:tcMar>
          </w:tcPr>
          <w:p>
            <w:pPr>
              <w:spacing w:after="0" w:before="0" w:line="276" w:lineRule="auto"/>
              <w:jc w:val="left"/>
            </w:pPr>
            <w:r>
              <w:rPr>
                <w:rFonts w:ascii="Garamond" w:cs="Garamond" w:eastAsia="Garamond" w:hAnsi="Garamond"/>
                <w:color w:val="3D3730"/>
                <w:sz w:val="18"/>
                <w:szCs w:val="18"/>
              </w:rPr>
              <w:t xml:space="preserve">Activo · demanda creciente de hospedaje boutique y experiencias de lujo</w:t>
            </w:r>
          </w:p>
        </w:tc>
      </w:tr>
    </w:tbl>
    <w:p>
      <w:pPr>
        <w:spacing w:after="160" w:before="0" w:line="240" w:lineRule="auto"/>
        <w:jc w:val="left"/>
      </w:pPr>
      <w:r>
        <w:rPr>
          <w:rFonts w:ascii="Garamond" w:cs="Garamond" w:eastAsia="Garamond" w:hAnsi="Garamond"/>
          <w:color w:val="3D3730"/>
          <w:sz w:val="20"/>
          <w:szCs w:val="20"/>
        </w:rPr>
        <w:t xml:space="preserve"/>
      </w:r>
    </w:p>
    <w:tbl>
      <w:tblPr>
        <w:tblW w:type="dxa" w:w="9360"/>
        <w:tblBorders>
          <w:top w:val="none" w:color="auto" w:sz="0"/>
          <w:left w:val="none" w:color="auto" w:sz="0"/>
          <w:bottom w:val="none" w:color="auto" w:sz="0"/>
          <w:right w:val="none" w:color="auto" w:sz="0"/>
          <w:insideH w:val="single" w:color="auto" w:sz="4"/>
          <w:insideV w:val="single" w:color="auto" w:sz="4"/>
        </w:tblBorders>
      </w:tblPr>
      <w:tblGrid>
        <w:gridCol w:w="9360"/>
      </w:tblGrid>
      <w:tr>
        <w:tc>
          <w:tcPr>
            <w:tcBorders>
              <w:top w:val="none" w:color="auto" w:sz="0"/>
              <w:left w:val="none" w:color="auto" w:sz="0"/>
              <w:bottom w:val="none" w:color="auto" w:sz="0"/>
              <w:right w:val="none" w:color="auto" w:sz="0"/>
            </w:tcBorders>
            <w:shd w:fill="8B6914" w:val="clear"/>
            <w:tcMar>
              <w:top w:type="dxa" w:w="80"/>
              <w:left w:type="dxa" w:w="160"/>
              <w:bottom w:type="dxa" w:w="80"/>
              <w:right w:type="dxa" w:w="160"/>
            </w:tcMar>
          </w:tcPr>
          <w:p>
            <w:pPr>
              <w:spacing w:after="0" w:before="0" w:line="276" w:lineRule="auto"/>
              <w:jc w:val="left"/>
            </w:pPr>
            <w:r>
              <w:rPr>
                <w:rFonts w:ascii="Garamond" w:cs="Garamond" w:eastAsia="Garamond" w:hAnsi="Garamond"/>
                <w:b/>
                <w:bCs/>
                <w:color w:val="FFFFFF"/>
                <w:sz w:val="22"/>
                <w:szCs w:val="22"/>
              </w:rPr>
              <w:t xml:space="preserve">V.  POTENCIAL DE USO E INVERSIÓN</w:t>
            </w:r>
          </w:p>
        </w:tc>
      </w:tr>
    </w:tbl>
    <w:p>
      <w:pPr>
        <w:spacing w:after="80" w:before="0" w:line="240" w:lineRule="auto"/>
        <w:jc w:val="left"/>
      </w:pPr>
      <w:r>
        <w:rPr>
          <w:rFonts w:ascii="Garamond" w:cs="Garamond" w:eastAsia="Garamond" w:hAnsi="Garamond"/>
          <w:color w:val="3D3730"/>
          <w:sz w:val="20"/>
          <w:szCs w:val="20"/>
        </w:rPr>
        <w:t xml:space="preserve"/>
      </w:r>
    </w:p>
    <w:p>
      <w:pPr>
        <w:spacing w:after="80" w:before="0" w:line="276" w:lineRule="auto"/>
        <w:jc w:val="left"/>
      </w:pPr>
      <w:r>
        <w:rPr>
          <w:rFonts w:ascii="Garamond" w:cs="Garamond" w:eastAsia="Garamond" w:hAnsi="Garamond"/>
          <w:color w:val="3D3730"/>
          <w:sz w:val="20"/>
          <w:szCs w:val="20"/>
        </w:rPr>
        <w:t xml:space="preserve">El perfil del inmueble admite múltiples modelos de rentabilidad:</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Residencia privada de lujo con carácter patrimonial</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Boutique hotel o posada de 10+ habitaciones con licencia de uso</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Retiro wellness, spa retreat o programa de bienestar</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Venue exclusivo para bodas, eventos privados y corporativos</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Plataforma de renta vacacional premium (Airbnb, VRBO, colecciones de lujo)</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Vehículo de inversión para family office o fondo inmobiliario</w:t>
      </w:r>
    </w:p>
    <w:p>
      <w:pPr>
        <w:spacing w:after="100" w:before="0" w:line="240" w:lineRule="auto"/>
        <w:jc w:val="left"/>
      </w:pPr>
      <w:r>
        <w:rPr>
          <w:rFonts w:ascii="Garamond" w:cs="Garamond" w:eastAsia="Garamond" w:hAnsi="Garamond"/>
          <w:color w:val="3D3730"/>
          <w:sz w:val="20"/>
          <w:szCs w:val="20"/>
        </w:rPr>
        <w:t xml:space="preserve"/>
      </w:r>
    </w:p>
    <w:tbl>
      <w:tblPr>
        <w:tblW w:type="dxa" w:w="9360"/>
        <w:tblBorders>
          <w:top w:val="single" w:color="8B6914" w:sz="4"/>
          <w:left w:val="single" w:color="8B6914" w:sz="16"/>
          <w:bottom w:val="single" w:color="8B6914" w:sz="4"/>
          <w:right w:val="none" w:color="auto" w:sz="0"/>
          <w:insideH w:val="single" w:color="auto" w:sz="4"/>
          <w:insideV w:val="single" w:color="auto" w:sz="4"/>
        </w:tblBorders>
      </w:tblPr>
      <w:tblGrid>
        <w:gridCol w:w="9360"/>
      </w:tblGrid>
      <w:tr>
        <w:tc>
          <w:tcPr>
            <w:tcBorders>
              <w:top w:val="single" w:color="8B6914" w:sz="4"/>
              <w:left w:val="single" w:color="8B6914" w:sz="16"/>
              <w:bottom w:val="single" w:color="8B6914" w:sz="4"/>
              <w:right w:val="none" w:color="auto" w:sz="0"/>
            </w:tcBorders>
            <w:shd w:fill="F5F3EE" w:val="clear"/>
            <w:tcMar>
              <w:top w:type="dxa" w:w="120"/>
              <w:left w:type="dxa" w:w="200"/>
              <w:bottom w:type="dxa" w:w="120"/>
              <w:right w:type="dxa" w:w="200"/>
            </w:tcMar>
          </w:tcPr>
          <w:p>
            <w:pPr>
              <w:spacing w:after="0" w:before="0" w:line="300" w:lineRule="auto"/>
              <w:jc w:val="left"/>
            </w:pPr>
            <w:r>
              <w:rPr>
                <w:rFonts w:ascii="Garamond" w:cs="Garamond" w:eastAsia="Garamond" w:hAnsi="Garamond"/>
                <w:b/>
                <w:bCs/>
                <w:color w:val="8B6914"/>
                <w:sz w:val="20"/>
                <w:szCs w:val="20"/>
              </w:rPr>
              <w:t xml:space="preserve">Argumento de inversión: </w:t>
            </w:r>
            <w:r>
              <w:rPr>
                <w:rFonts w:ascii="Garamond" w:cs="Garamond" w:eastAsia="Garamond" w:hAnsi="Garamond"/>
                <w:color w:val="3D3730"/>
                <w:sz w:val="20"/>
                <w:szCs w:val="20"/>
              </w:rPr>
              <w:t xml:space="preserve">Las haciendas históricas restauradas son el activo inmobiliario de mayor demanda entre compradores americanos, europeos y mexicanos de alto perfil. Mérida registra +8.5% de plusvalía anual sostenida. El mercado de hospedaje boutique en Yucatán registra tasas de ocupación superiores al 70% en temporada alta con tarifas promedio de $250–$600 USD por noche. La combinación de 150 años de historia, restauración completa, cenote propio, autonomía energética total (solar + generador diésel) y ubicación a 20 millas de Mérida hace de esta propiedad un activo único e irrepetible. USD $1,659,900 es precio de oportunidad.</w:t>
            </w:r>
          </w:p>
        </w:tc>
      </w:tr>
    </w:tbl>
    <w:p>
      <w:pPr>
        <w:spacing w:after="160" w:before="0" w:line="240" w:lineRule="auto"/>
        <w:jc w:val="left"/>
      </w:pPr>
      <w:r>
        <w:rPr>
          <w:rFonts w:ascii="Garamond" w:cs="Garamond" w:eastAsia="Garamond" w:hAnsi="Garamond"/>
          <w:color w:val="3D3730"/>
          <w:sz w:val="20"/>
          <w:szCs w:val="20"/>
        </w:rPr>
        <w:t xml:space="preserve"/>
      </w:r>
    </w:p>
    <w:tbl>
      <w:tblPr>
        <w:tblW w:type="dxa" w:w="9360"/>
        <w:tblBorders>
          <w:top w:val="none" w:color="auto" w:sz="0"/>
          <w:left w:val="none" w:color="auto" w:sz="0"/>
          <w:bottom w:val="none" w:color="auto" w:sz="0"/>
          <w:right w:val="none" w:color="auto" w:sz="0"/>
          <w:insideH w:val="single" w:color="auto" w:sz="4"/>
          <w:insideV w:val="single" w:color="auto" w:sz="4"/>
        </w:tblBorders>
      </w:tblPr>
      <w:tblGrid>
        <w:gridCol w:w="9360"/>
      </w:tblGrid>
      <w:tr>
        <w:tc>
          <w:tcPr>
            <w:tcBorders>
              <w:top w:val="none" w:color="auto" w:sz="0"/>
              <w:left w:val="none" w:color="auto" w:sz="0"/>
              <w:bottom w:val="none" w:color="auto" w:sz="0"/>
              <w:right w:val="none" w:color="auto" w:sz="0"/>
            </w:tcBorders>
            <w:shd w:fill="8B6914" w:val="clear"/>
            <w:tcMar>
              <w:top w:type="dxa" w:w="80"/>
              <w:left w:type="dxa" w:w="160"/>
              <w:bottom w:type="dxa" w:w="80"/>
              <w:right w:type="dxa" w:w="160"/>
            </w:tcMar>
          </w:tcPr>
          <w:p>
            <w:pPr>
              <w:spacing w:after="0" w:before="0" w:line="276" w:lineRule="auto"/>
              <w:jc w:val="left"/>
            </w:pPr>
            <w:r>
              <w:rPr>
                <w:rFonts w:ascii="Garamond" w:cs="Garamond" w:eastAsia="Garamond" w:hAnsi="Garamond"/>
                <w:b/>
                <w:bCs/>
                <w:color w:val="FFFFFF"/>
                <w:sz w:val="22"/>
                <w:szCs w:val="22"/>
              </w:rPr>
              <w:t xml:space="preserve">VI.  DOCUMENTACIÓN DISPONIBLE</w:t>
            </w:r>
          </w:p>
        </w:tc>
      </w:tr>
    </w:tbl>
    <w:p>
      <w:pPr>
        <w:spacing w:after="80" w:before="0" w:line="240" w:lineRule="auto"/>
        <w:jc w:val="left"/>
      </w:pPr>
      <w:r>
        <w:rPr>
          <w:rFonts w:ascii="Garamond" w:cs="Garamond" w:eastAsia="Garamond" w:hAnsi="Garamond"/>
          <w:color w:val="3D3730"/>
          <w:sz w:val="20"/>
          <w:szCs w:val="20"/>
        </w:rPr>
        <w:t xml:space="preserve"/>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Rectificación de Medidas oficial · INSEJUPY · Dirección de Catastro Municipal Acanceh · Feb 2026</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Planos sellados y aprobados por la Dirección de Catastro</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Propietario: persona moral mexicana (S.A. de C.V.) con representante legal identificado</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Listado exclusivo DomeLux Mérida Luxury Real Estate</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Perito valuador: Ing. Wilbert Edwin Vázquez Castillo · Clave ID024-VC01</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Director Catastro: C. Juan Oscar Cardeña Tun · Dirección de Catastro Municipal</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Escritura: en proceso de obtención · INSEJUPY</w:t>
      </w:r>
    </w:p>
    <w:p>
      <w:pPr>
        <w:spacing w:after="40" w:before="40" w:line="276" w:lineRule="auto"/>
        <w:jc w:val="left"/>
      </w:pPr>
      <w:r>
        <w:rPr>
          <w:rFonts w:ascii="Garamond" w:cs="Garamond" w:eastAsia="Garamond" w:hAnsi="Garamond"/>
          <w:b/>
          <w:bCs/>
          <w:color w:val="8B6914"/>
          <w:sz w:val="20"/>
          <w:szCs w:val="20"/>
        </w:rPr>
        <w:t xml:space="preserve">▸  </w:t>
      </w:r>
      <w:r>
        <w:rPr>
          <w:rFonts w:ascii="Garamond" w:cs="Garamond" w:eastAsia="Garamond" w:hAnsi="Garamond"/>
          <w:color w:val="3D3730"/>
          <w:sz w:val="20"/>
          <w:szCs w:val="20"/>
        </w:rPr>
        <w:t xml:space="preserve">Libertad de gravamen: pendiente de obtención</w:t>
      </w:r>
    </w:p>
    <w:p>
      <w:pPr>
        <w:spacing w:after="200" w:before="0" w:line="240" w:lineRule="auto"/>
        <w:jc w:val="left"/>
      </w:pPr>
      <w:r>
        <w:rPr>
          <w:rFonts w:ascii="Garamond" w:cs="Garamond" w:eastAsia="Garamond" w:hAnsi="Garamond"/>
          <w:color w:val="3D3730"/>
          <w:sz w:val="20"/>
          <w:szCs w:val="20"/>
        </w:rPr>
        <w:t xml:space="preserve"/>
      </w:r>
    </w:p>
    <w:tbl>
      <w:tblPr>
        <w:tblW w:type="dxa" w:w="9360"/>
        <w:tblBorders>
          <w:top w:val="single" w:color="8B6914" w:sz="8"/>
          <w:left w:val="none" w:color="auto" w:sz="0"/>
          <w:bottom w:val="none" w:color="auto" w:sz="0"/>
          <w:right w:val="none" w:color="auto" w:sz="0"/>
          <w:insideH w:val="single" w:color="auto" w:sz="4"/>
          <w:insideV w:val="single" w:color="auto" w:sz="4"/>
        </w:tblBorders>
      </w:tblPr>
      <w:tblGrid>
        <w:gridCol w:w="9360"/>
      </w:tblGrid>
      <w:tr>
        <w:tc>
          <w:tcPr>
            <w:tcBorders>
              <w:top w:val="none" w:color="auto" w:sz="0"/>
              <w:left w:val="none" w:color="auto" w:sz="0"/>
              <w:bottom w:val="none" w:color="auto" w:sz="0"/>
              <w:right w:val="none" w:color="auto" w:sz="0"/>
            </w:tcBorders>
            <w:shd w:fill="1A1A1A" w:val="clear"/>
            <w:tcMar>
              <w:top w:type="dxa" w:w="200"/>
              <w:left w:type="dxa" w:w="300"/>
              <w:bottom w:type="dxa" w:w="200"/>
              <w:right w:type="dxa" w:w="300"/>
            </w:tcMar>
          </w:tcPr>
          <w:p>
            <w:pPr>
              <w:spacing w:after="0" w:before="0" w:line="276" w:lineRule="auto"/>
              <w:jc w:val="center"/>
            </w:pPr>
            <w:r>
              <w:rPr>
                <w:rFonts w:ascii="Garamond" w:cs="Garamond" w:eastAsia="Garamond" w:hAnsi="Garamond"/>
                <w:b/>
                <w:bCs/>
                <w:color w:val="FFFFFF"/>
                <w:sz w:val="26"/>
                <w:szCs w:val="26"/>
              </w:rPr>
              <w:t xml:space="preserve">VÍCTOR MANZUR ÁLVAREZ</w:t>
            </w:r>
          </w:p>
          <w:p>
            <w:pPr>
              <w:spacing w:after="0" w:before="0" w:line="276" w:lineRule="auto"/>
              <w:jc w:val="center"/>
            </w:pPr>
            <w:r>
              <w:rPr>
                <w:rFonts w:ascii="Garamond" w:cs="Garamond" w:eastAsia="Garamond" w:hAnsi="Garamond"/>
                <w:color w:val="D9D3C5"/>
                <w:sz w:val="18"/>
                <w:szCs w:val="18"/>
              </w:rPr>
              <w:t xml:space="preserve">Asesor Inmobiliario Certificado · EC0110.02 SEP–CONOCER</w:t>
            </w:r>
          </w:p>
          <w:p>
            <w:pPr>
              <w:spacing w:after="0" w:before="0" w:line="276" w:lineRule="auto"/>
              <w:jc w:val="center"/>
            </w:pPr>
            <w:r>
              <w:rPr>
                <w:rFonts w:ascii="Garamond" w:cs="Garamond" w:eastAsia="Garamond" w:hAnsi="Garamond"/>
                <w:b/>
                <w:bCs/>
                <w:color w:val="8B6914"/>
                <w:sz w:val="18"/>
                <w:szCs w:val="18"/>
              </w:rPr>
              <w:t xml:space="preserve">DomeLux Mérida Luxury Real Estate</w:t>
            </w:r>
          </w:p>
          <w:p>
            <w:pPr>
              <w:spacing w:after="60" w:before="0" w:line="240" w:lineRule="auto"/>
              <w:jc w:val="left"/>
            </w:pPr>
            <w:r>
              <w:rPr>
                <w:rFonts w:ascii="Garamond" w:cs="Garamond" w:eastAsia="Garamond" w:hAnsi="Garamond"/>
                <w:color w:val="3D3730"/>
                <w:sz w:val="20"/>
                <w:szCs w:val="20"/>
              </w:rPr>
              <w:t xml:space="preserve"/>
            </w:r>
          </w:p>
          <w:p>
            <w:pPr>
              <w:spacing w:after="0" w:before="0" w:line="276" w:lineRule="auto"/>
              <w:jc w:val="center"/>
            </w:pPr>
            <w:r>
              <w:rPr>
                <w:rFonts w:ascii="Garamond" w:cs="Garamond" w:eastAsia="Garamond" w:hAnsi="Garamond"/>
                <w:color w:val="D9D3C5"/>
                <w:sz w:val="18"/>
                <w:szCs w:val="18"/>
              </w:rPr>
              <w:t xml:space="preserve">DomeLuxMerida.com  ·  imagingroup@gmail.com</w:t>
            </w:r>
          </w:p>
          <w:p>
            <w:pPr>
              <w:spacing w:after="0" w:before="0" w:line="276" w:lineRule="auto"/>
              <w:jc w:val="center"/>
            </w:pPr>
            <w:r>
              <w:rPr>
                <w:rFonts w:ascii="Garamond" w:cs="Garamond" w:eastAsia="Garamond" w:hAnsi="Garamond"/>
                <w:color w:val="D9D3C5"/>
                <w:sz w:val="18"/>
                <w:szCs w:val="18"/>
              </w:rPr>
              <w:t xml:space="preserve">WhatsApp USA: +1 (818) 219-1135  ·  MX: +52 999 362 7108</w:t>
            </w:r>
          </w:p>
          <w:p>
            <w:pPr>
              <w:spacing w:after="80" w:before="0" w:line="240" w:lineRule="auto"/>
              <w:jc w:val="left"/>
            </w:pPr>
            <w:r>
              <w:rPr>
                <w:rFonts w:ascii="Garamond" w:cs="Garamond" w:eastAsia="Garamond" w:hAnsi="Garamond"/>
                <w:color w:val="3D3730"/>
                <w:sz w:val="20"/>
                <w:szCs w:val="20"/>
              </w:rPr>
              <w:t xml:space="preserve"/>
            </w:r>
          </w:p>
          <w:p>
            <w:pPr>
              <w:spacing w:after="0" w:before="0" w:line="276" w:lineRule="auto"/>
              <w:jc w:val="center"/>
            </w:pPr>
            <w:r>
              <w:rPr>
                <w:rFonts w:ascii="Garamond" w:cs="Garamond" w:eastAsia="Garamond" w:hAnsi="Garamond"/>
                <w:b/>
                <w:bCs/>
                <w:i/>
                <w:iCs/>
                <w:color w:val="8B6914"/>
                <w:sz w:val="18"/>
                <w:szCs w:val="18"/>
              </w:rPr>
              <w:t xml:space="preserve">"THE BEST DEALS ARE SECURED BEFORE THEY REACH THE OPEN MARKET."</w:t>
            </w:r>
          </w:p>
        </w:tc>
      </w:tr>
    </w:tbl>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2026-08-26T05:05:42.068Z</dcterms:created>
  <dcterms:modified xsi:type="dcterms:W3CDTF">2026-08-26T05:05:42.078Z</dcterms:modified>
</cp:coreProperties>
</file>

<file path=docProps/custom.xml><?xml version="1.0" encoding="utf-8"?>
<Properties xmlns="http://schemas.openxmlformats.org/officeDocument/2006/custom-properties" xmlns:vt="http://schemas.openxmlformats.org/officeDocument/2006/docPropsVTypes"/>
</file>