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Comfortaa" w:cs="Comfortaa" w:eastAsia="Comfortaa" w:hAnsi="Comfortaa"/>
          <w:b w:val="1"/>
          <w:sz w:val="28"/>
          <w:szCs w:val="28"/>
          <w:u w:val="single"/>
        </w:rPr>
        <w:drawing>
          <wp:inline distB="114300" distT="114300" distL="114300" distR="114300">
            <wp:extent cx="2333625" cy="7334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PREGUNTAS Y RESPUESTAS DE AMARES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el nombre de la constructora?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Diseño y arquitectura: </w:t>
      </w:r>
      <w:r w:rsidDel="00000000" w:rsidR="00000000" w:rsidRPr="00000000">
        <w:rPr>
          <w:rtl w:val="0"/>
        </w:rPr>
        <w:t xml:space="preserve">CEL-RAS Arquitectura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https://cel-ras.com/project/hotel/hotel-samabella/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Desarrolladora: SAMABELLA SPACE, S.</w:t>
      </w:r>
      <w:r w:rsidDel="00000000" w:rsidR="00000000" w:rsidRPr="00000000">
        <w:rPr>
          <w:rtl w:val="0"/>
        </w:rPr>
        <w:t xml:space="preserve">R.L.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Constructora local: Adames LockwardEIRL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para registro de Clientes: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En el correo se debe enviar: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Asunto: Reporte de Cliente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Cuerpo del correo: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Cliente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 o últimos 4 dígitos del teléfono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la dirección de la Oficina administrativa de Samabella Space, SRL.?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Av. Bolivar No. 505, Quinta Don Jose III, Suite 109-E. Gazcue, Santo Domingo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 de Banco Popular para temas de transferencias internacionales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Costos por legalización de contratos: No tiene costo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Cuándo inicia la construcción?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  <w:t xml:space="preserve">Diciembre del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Ley de CONFOTUR: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Si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incluye las Unidades: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Linea Blanca, para mas detalles ver Dropbox.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¿Construcción de Amenidades según las etapas?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Se entregarán junto con el proyecto.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¿Con cuántas unidades cuenta el proyecto?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36 unidades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de pago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5,000 separación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25% a la firma (negociable)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35% durante la construcción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40% contra entrega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Fly &amp; Buy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Hasta 1,500 dolares descontados de la unidad.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Cuotas de mantenimiento: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100 dolares 1 habitacion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150 dolares 2 habitaciones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200 dolares villa de dos niveles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Cuales son las fechas de entregas:</w:t>
      </w:r>
      <w:r w:rsidDel="00000000" w:rsidR="00000000" w:rsidRPr="00000000">
        <w:rPr>
          <w:rtl w:val="0"/>
        </w:rPr>
        <w:t xml:space="preserve"> Junio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la distancia del proyecto a la playa? Tiene su propia playa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 de Administración para el proyecto: Gesproim Group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D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2E345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nk+u/3gvtHgfKHJRvCKweWUQCQ==">CgMxLjA4AHIhMVU2WkZvUm9DcmNJQUY4ZDNWYmdoOEJSN3ZCR1U0VXFI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2023-06-10T01:06:00Z</dcterms:created>
  <dc:creator>Isis Giselle Ventura Elaxis</dc:creator>
</cp:coreProperties>
</file>